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4902" w14:textId="77777777" w:rsidR="0091550C" w:rsidRPr="0091550C" w:rsidRDefault="0091550C" w:rsidP="009155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50C">
        <w:rPr>
          <w:rFonts w:ascii="Times New Roman" w:hAnsi="Times New Roman" w:cs="Times New Roman"/>
          <w:b/>
          <w:bCs/>
          <w:sz w:val="28"/>
          <w:szCs w:val="28"/>
        </w:rPr>
        <w:t>NYS ACCP Annual Meeting Fall 2023</w:t>
      </w:r>
    </w:p>
    <w:p w14:paraId="26EBB442" w14:textId="77777777" w:rsidR="0091550C" w:rsidRPr="0091550C" w:rsidRDefault="0091550C" w:rsidP="009155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50C">
        <w:rPr>
          <w:rFonts w:ascii="Times New Roman" w:hAnsi="Times New Roman" w:cs="Times New Roman"/>
          <w:b/>
          <w:bCs/>
          <w:sz w:val="28"/>
          <w:szCs w:val="28"/>
        </w:rPr>
        <w:t>Poster Presentation Abstracts</w:t>
      </w:r>
    </w:p>
    <w:p w14:paraId="3B6F1C59" w14:textId="77777777" w:rsidR="0091550C" w:rsidRPr="0091550C" w:rsidRDefault="0091550C">
      <w:pPr>
        <w:rPr>
          <w:rFonts w:ascii="Times New Roman" w:hAnsi="Times New Roman" w:cs="Times New Roman"/>
        </w:rPr>
      </w:pPr>
    </w:p>
    <w:p w14:paraId="309F4A0A" w14:textId="77777777" w:rsidR="0091550C" w:rsidRDefault="0091550C" w:rsidP="0091550C">
      <w:pPr>
        <w:rPr>
          <w:rFonts w:ascii="Times New Roman" w:hAnsi="Times New Roman" w:cs="Times New Roman"/>
        </w:rPr>
      </w:pPr>
    </w:p>
    <w:p w14:paraId="69E834F3" w14:textId="77777777" w:rsidR="0091550C" w:rsidRPr="0091550C" w:rsidRDefault="0091550C" w:rsidP="007D558F">
      <w:pPr>
        <w:rPr>
          <w:rFonts w:ascii="Times New Roman" w:hAnsi="Times New Roman" w:cs="Times New Roman"/>
          <w:b/>
          <w:bCs/>
        </w:rPr>
      </w:pPr>
      <w:r w:rsidRPr="007D558F">
        <w:rPr>
          <w:rFonts w:ascii="Times New Roman" w:hAnsi="Times New Roman" w:cs="Times New Roman"/>
          <w:b/>
          <w:bCs/>
        </w:rPr>
        <w:t>Title</w:t>
      </w:r>
      <w:r w:rsidRPr="0091550C">
        <w:rPr>
          <w:rFonts w:ascii="Times New Roman" w:hAnsi="Times New Roman" w:cs="Times New Roman"/>
          <w:b/>
          <w:bCs/>
        </w:rPr>
        <w:t>:</w:t>
      </w:r>
      <w:r w:rsidR="007D558F">
        <w:rPr>
          <w:rFonts w:ascii="Times New Roman" w:hAnsi="Times New Roman" w:cs="Times New Roman"/>
          <w:b/>
          <w:bCs/>
        </w:rPr>
        <w:t xml:space="preserve"> </w:t>
      </w:r>
      <w:r w:rsidR="007D558F" w:rsidRPr="007D558F">
        <w:rPr>
          <w:rFonts w:ascii="Times New Roman" w:hAnsi="Times New Roman" w:cs="Times New Roman"/>
        </w:rPr>
        <w:t>First generation antipsychotic-associated serious adverse events in women: an analysis of a national pharmacoepidemiologic database.</w:t>
      </w:r>
    </w:p>
    <w:p w14:paraId="0C444DE2" w14:textId="77777777" w:rsidR="007D558F" w:rsidRDefault="007D558F" w:rsidP="007D558F">
      <w:pPr>
        <w:rPr>
          <w:rFonts w:ascii="Times New Roman" w:hAnsi="Times New Roman" w:cs="Times New Roman"/>
          <w:b/>
          <w:bCs/>
        </w:rPr>
      </w:pPr>
    </w:p>
    <w:p w14:paraId="336C9764" w14:textId="77777777" w:rsidR="007D558F" w:rsidRPr="0091550C" w:rsidRDefault="007D558F" w:rsidP="007D558F">
      <w:pPr>
        <w:rPr>
          <w:rFonts w:ascii="Times New Roman" w:hAnsi="Times New Roman" w:cs="Times New Roman"/>
        </w:rPr>
      </w:pPr>
      <w:r w:rsidRPr="0091550C">
        <w:rPr>
          <w:rFonts w:ascii="Times New Roman" w:hAnsi="Times New Roman" w:cs="Times New Roman"/>
          <w:b/>
          <w:bCs/>
        </w:rPr>
        <w:t>Authors</w:t>
      </w:r>
      <w:r w:rsidRPr="0091550C">
        <w:rPr>
          <w:rFonts w:ascii="Times New Roman" w:hAnsi="Times New Roman" w:cs="Times New Roman"/>
        </w:rPr>
        <w:t>: Kenneth L McCall, PharmD, Bennett J Doughty, PharmD, Brian J Piper, PhD, Heeral Naik, Seraphine Bange, Emily E Leppien, PharmD</w:t>
      </w:r>
    </w:p>
    <w:p w14:paraId="67F8AB52" w14:textId="77777777" w:rsidR="0091550C" w:rsidRPr="0091550C" w:rsidRDefault="0091550C" w:rsidP="0091550C">
      <w:pPr>
        <w:rPr>
          <w:rFonts w:ascii="Times New Roman" w:hAnsi="Times New Roman" w:cs="Times New Roman"/>
        </w:rPr>
      </w:pPr>
    </w:p>
    <w:p w14:paraId="49D15A61" w14:textId="77777777" w:rsidR="0091550C" w:rsidRPr="0091550C" w:rsidRDefault="0091550C" w:rsidP="0091550C">
      <w:pPr>
        <w:rPr>
          <w:rFonts w:ascii="Times New Roman" w:hAnsi="Times New Roman" w:cs="Times New Roman"/>
        </w:rPr>
      </w:pPr>
      <w:r w:rsidRPr="0091550C">
        <w:rPr>
          <w:rFonts w:ascii="Times New Roman" w:hAnsi="Times New Roman" w:cs="Times New Roman"/>
          <w:b/>
          <w:bCs/>
        </w:rPr>
        <w:t>Introduction</w:t>
      </w:r>
      <w:r w:rsidRPr="0091550C">
        <w:rPr>
          <w:rFonts w:ascii="Times New Roman" w:hAnsi="Times New Roman" w:cs="Times New Roman"/>
        </w:rPr>
        <w:t>: The disproportionally low inclusion of women in trials of antipsychotic medications limits our understanding of drug safety. </w:t>
      </w:r>
    </w:p>
    <w:p w14:paraId="7F852329" w14:textId="77777777" w:rsidR="0091550C" w:rsidRPr="0091550C" w:rsidRDefault="0091550C" w:rsidP="0091550C">
      <w:pPr>
        <w:rPr>
          <w:rFonts w:ascii="Times New Roman" w:hAnsi="Times New Roman" w:cs="Times New Roman"/>
        </w:rPr>
      </w:pPr>
    </w:p>
    <w:p w14:paraId="31A2D9A0" w14:textId="77777777" w:rsidR="0091550C" w:rsidRPr="0091550C" w:rsidRDefault="0091550C" w:rsidP="0091550C">
      <w:pPr>
        <w:rPr>
          <w:rFonts w:ascii="Times New Roman" w:hAnsi="Times New Roman" w:cs="Times New Roman"/>
        </w:rPr>
      </w:pPr>
      <w:r w:rsidRPr="0091550C">
        <w:rPr>
          <w:rFonts w:ascii="Times New Roman" w:hAnsi="Times New Roman" w:cs="Times New Roman"/>
          <w:b/>
          <w:bCs/>
        </w:rPr>
        <w:t>Objective</w:t>
      </w:r>
      <w:r w:rsidRPr="0091550C">
        <w:rPr>
          <w:rFonts w:ascii="Times New Roman" w:hAnsi="Times New Roman" w:cs="Times New Roman"/>
        </w:rPr>
        <w:t>: The primary aim of this study was to evaluate five serious adverse events (AE) associated with first-generation antipsychotics (FGAs) among women relative to men through an analysis of FAERS.</w:t>
      </w:r>
    </w:p>
    <w:p w14:paraId="4F83A12C" w14:textId="77777777" w:rsidR="0091550C" w:rsidRPr="0091550C" w:rsidRDefault="0091550C" w:rsidP="0091550C">
      <w:pPr>
        <w:rPr>
          <w:rFonts w:ascii="Times New Roman" w:hAnsi="Times New Roman" w:cs="Times New Roman"/>
        </w:rPr>
      </w:pPr>
    </w:p>
    <w:p w14:paraId="07CAEADB" w14:textId="77777777" w:rsidR="0091550C" w:rsidRPr="0091550C" w:rsidRDefault="0091550C" w:rsidP="0091550C">
      <w:pPr>
        <w:rPr>
          <w:rFonts w:ascii="Times New Roman" w:hAnsi="Times New Roman" w:cs="Times New Roman"/>
        </w:rPr>
      </w:pPr>
      <w:r w:rsidRPr="0091550C">
        <w:rPr>
          <w:rFonts w:ascii="Times New Roman" w:hAnsi="Times New Roman" w:cs="Times New Roman"/>
          <w:b/>
          <w:bCs/>
        </w:rPr>
        <w:t>Methods</w:t>
      </w:r>
      <w:r w:rsidRPr="0091550C">
        <w:rPr>
          <w:rFonts w:ascii="Times New Roman" w:hAnsi="Times New Roman" w:cs="Times New Roman"/>
        </w:rPr>
        <w:t>: We queried 24.6 million reports from 2000 to 2023 of cases involving FGAs. The study cohort consisted of chlorpromazine (n=3,317), fluphenazine (n=1,124), haloperidol (n= 16,709), loxapine (n=3,151), perphenazine (n=816), thioridazine (n=665), thiothixene (n= 244), and trifluoperazine (n=360). Cases of neuroleptic malignant syndrome (NMS), tardive dyskinesia (TD), Torsades de Pointes (TdP), agranulocytosis (AG), and cerebrovascular adverse events (CVAE) were identified. Reporting odds ratios (ROR) and associated 95% confidence intervals (CI) were calculated using a case/non-case analysis and logistic regression for each serious adverse event among women relative to men.</w:t>
      </w:r>
    </w:p>
    <w:p w14:paraId="0EA08D2F" w14:textId="77777777" w:rsidR="0091550C" w:rsidRPr="0091550C" w:rsidRDefault="0091550C" w:rsidP="0091550C">
      <w:pPr>
        <w:rPr>
          <w:rFonts w:ascii="Times New Roman" w:hAnsi="Times New Roman" w:cs="Times New Roman"/>
        </w:rPr>
      </w:pPr>
    </w:p>
    <w:p w14:paraId="4054EB56" w14:textId="77777777" w:rsidR="0091550C" w:rsidRPr="0091550C" w:rsidRDefault="0091550C" w:rsidP="0091550C">
      <w:pPr>
        <w:rPr>
          <w:rFonts w:ascii="Times New Roman" w:hAnsi="Times New Roman" w:cs="Times New Roman"/>
        </w:rPr>
      </w:pPr>
      <w:r w:rsidRPr="0091550C">
        <w:rPr>
          <w:rFonts w:ascii="Times New Roman" w:hAnsi="Times New Roman" w:cs="Times New Roman"/>
          <w:b/>
          <w:bCs/>
        </w:rPr>
        <w:t>Results</w:t>
      </w:r>
      <w:r w:rsidRPr="0091550C">
        <w:rPr>
          <w:rFonts w:ascii="Times New Roman" w:hAnsi="Times New Roman" w:cs="Times New Roman"/>
        </w:rPr>
        <w:t>: A total of 2,857 serious AEs were evaluated in the study cohort (NMS=1,810, TD=434, TdP=260, AG=149, CVAE=204). Hospitalization and death were reported as outcomes in 1,762 (61.7%) and 413 (14.5%) of the reports, respectively. The ROR for women compared to men was 0.79 (95% CI, 0.71-0.87) for NMS, 0.83 (0.68-1.01) for TD, 1.21 (0.94-1.53) for TdP, 0.71 (0.51-0.98) for AG, and 0.91 (0.68-1.19) for CVAE. A secondary analysis revealed a higher odds in women compared to men of hospitalization associated with reports of TD (ROR=1.95, 95% CI = 1.29-2.94) and death associated with reports of AG (ROR=2.46, 1.15-5.24). A subgroup analysis of haloperidol AEs revealed an ROR for women compared to men of 1.67 (1.26-2.21) for TdP.</w:t>
      </w:r>
    </w:p>
    <w:p w14:paraId="14D522FA" w14:textId="77777777" w:rsidR="0091550C" w:rsidRPr="0091550C" w:rsidRDefault="0091550C" w:rsidP="0091550C">
      <w:pPr>
        <w:rPr>
          <w:rFonts w:ascii="Times New Roman" w:hAnsi="Times New Roman" w:cs="Times New Roman"/>
        </w:rPr>
      </w:pPr>
    </w:p>
    <w:p w14:paraId="4FAB9767" w14:textId="77777777" w:rsidR="0091550C" w:rsidRPr="0091550C" w:rsidRDefault="0091550C" w:rsidP="0091550C">
      <w:pPr>
        <w:rPr>
          <w:rFonts w:ascii="Times New Roman" w:hAnsi="Times New Roman" w:cs="Times New Roman"/>
        </w:rPr>
      </w:pPr>
      <w:r w:rsidRPr="0091550C">
        <w:rPr>
          <w:rFonts w:ascii="Times New Roman" w:hAnsi="Times New Roman" w:cs="Times New Roman"/>
          <w:b/>
          <w:bCs/>
        </w:rPr>
        <w:t>Conclusion</w:t>
      </w:r>
      <w:r w:rsidRPr="0091550C">
        <w:rPr>
          <w:rFonts w:ascii="Times New Roman" w:hAnsi="Times New Roman" w:cs="Times New Roman"/>
        </w:rPr>
        <w:t>: The subgroup analysis of haloperidol AEs revealed a significantly higher reporting odds ratio for TdP. Additionally, the secondary study findings suggest that women were more vulnerable to worse outcomes associated with certain AEs of FGAs.</w:t>
      </w:r>
    </w:p>
    <w:p w14:paraId="04DC284F" w14:textId="77777777" w:rsidR="0091550C" w:rsidRPr="0091550C" w:rsidRDefault="0091550C" w:rsidP="0091550C">
      <w:pPr>
        <w:rPr>
          <w:rFonts w:ascii="Times New Roman" w:hAnsi="Times New Roman" w:cs="Times New Roman"/>
        </w:rPr>
      </w:pPr>
    </w:p>
    <w:p w14:paraId="0D0302AB" w14:textId="77777777" w:rsidR="0091550C" w:rsidRPr="0091550C" w:rsidRDefault="0091550C">
      <w:pPr>
        <w:rPr>
          <w:rFonts w:ascii="Times New Roman" w:hAnsi="Times New Roman" w:cs="Times New Roman"/>
        </w:rPr>
      </w:pPr>
      <w:r w:rsidRPr="0091550C">
        <w:rPr>
          <w:rFonts w:ascii="Times New Roman" w:hAnsi="Times New Roman" w:cs="Times New Roman"/>
        </w:rPr>
        <w:br w:type="page"/>
      </w:r>
    </w:p>
    <w:p w14:paraId="478A14CA" w14:textId="77777777" w:rsidR="00B62E57" w:rsidRPr="0091550C" w:rsidRDefault="00B62E57" w:rsidP="00B62E57">
      <w:pPr>
        <w:rPr>
          <w:rFonts w:ascii="Times New Roman" w:hAnsi="Times New Roman" w:cs="Times New Roman"/>
        </w:rPr>
      </w:pPr>
      <w:r w:rsidRPr="0091550C">
        <w:rPr>
          <w:rFonts w:ascii="Times New Roman" w:hAnsi="Times New Roman" w:cs="Times New Roman"/>
          <w:b/>
          <w:bCs/>
        </w:rPr>
        <w:lastRenderedPageBreak/>
        <w:t>Title</w:t>
      </w:r>
      <w:r w:rsidRPr="0091550C">
        <w:rPr>
          <w:rFonts w:ascii="Times New Roman" w:hAnsi="Times New Roman" w:cs="Times New Roman"/>
        </w:rPr>
        <w:t>: Bictegravir in the Elderly Living with HIV (BICEP): Impact of Polypharmacy and Multimorbidity</w:t>
      </w:r>
    </w:p>
    <w:p w14:paraId="174C6BD7" w14:textId="77777777" w:rsidR="00B62E57" w:rsidRDefault="00B62E57" w:rsidP="0091550C">
      <w:pPr>
        <w:rPr>
          <w:rFonts w:ascii="Times New Roman" w:hAnsi="Times New Roman" w:cs="Times New Roman"/>
          <w:b/>
          <w:bCs/>
        </w:rPr>
      </w:pPr>
    </w:p>
    <w:p w14:paraId="69D1E481" w14:textId="77777777" w:rsidR="0091550C" w:rsidRPr="0091550C" w:rsidRDefault="0091550C" w:rsidP="0091550C">
      <w:pPr>
        <w:rPr>
          <w:rFonts w:ascii="Times New Roman" w:hAnsi="Times New Roman" w:cs="Times New Roman"/>
        </w:rPr>
      </w:pPr>
      <w:r w:rsidRPr="0091550C">
        <w:rPr>
          <w:rFonts w:ascii="Times New Roman" w:hAnsi="Times New Roman" w:cs="Times New Roman"/>
          <w:b/>
          <w:bCs/>
        </w:rPr>
        <w:t>Authors</w:t>
      </w:r>
      <w:r w:rsidRPr="0091550C">
        <w:rPr>
          <w:rFonts w:ascii="Times New Roman" w:hAnsi="Times New Roman" w:cs="Times New Roman"/>
        </w:rPr>
        <w:t>: Thomas Sulli, Qing Liu, Sheung Ying Kwan, Jiachen Xu, Zilin Wang, Qing Ma</w:t>
      </w:r>
    </w:p>
    <w:p w14:paraId="34381B0E" w14:textId="77777777" w:rsidR="0091550C" w:rsidRPr="0091550C" w:rsidRDefault="0091550C" w:rsidP="0091550C">
      <w:pPr>
        <w:rPr>
          <w:rFonts w:ascii="Times New Roman" w:hAnsi="Times New Roman" w:cs="Times New Roman"/>
        </w:rPr>
      </w:pPr>
    </w:p>
    <w:p w14:paraId="6772BB08" w14:textId="77777777" w:rsidR="0091550C" w:rsidRPr="0091550C" w:rsidRDefault="0091550C" w:rsidP="0091550C">
      <w:pPr>
        <w:rPr>
          <w:rFonts w:ascii="Times New Roman" w:hAnsi="Times New Roman" w:cs="Times New Roman"/>
        </w:rPr>
      </w:pPr>
      <w:r w:rsidRPr="0091550C">
        <w:rPr>
          <w:rFonts w:ascii="Times New Roman" w:hAnsi="Times New Roman" w:cs="Times New Roman"/>
          <w:b/>
          <w:bCs/>
        </w:rPr>
        <w:t>Purpose</w:t>
      </w:r>
      <w:r w:rsidRPr="0091550C">
        <w:rPr>
          <w:rFonts w:ascii="Times New Roman" w:hAnsi="Times New Roman" w:cs="Times New Roman"/>
        </w:rPr>
        <w:t xml:space="preserve">: Polypharmacy is a major challenges among the elderly living with HIV. We hypothesize that HIV-infected patients who switch from Elvitegravir/Cobicistat/ Emtricitabine /Tenofovir Alafenamide or Elvitegravir/Cobicistat/Emtricitabine/Tenofovir Fumarate to Bictegravir/Emtricitabine/Tenofovir Alafenamide (BIC/F/TAF) will experience less Potential drug-drug interactions (PDDI) which will translate to improved cognitive function and health-related quality of life measures (HRQOL). </w:t>
      </w:r>
    </w:p>
    <w:p w14:paraId="377DFEAB" w14:textId="77777777" w:rsidR="0091550C" w:rsidRPr="0091550C" w:rsidRDefault="0091550C" w:rsidP="0091550C">
      <w:pPr>
        <w:rPr>
          <w:rFonts w:ascii="Times New Roman" w:hAnsi="Times New Roman" w:cs="Times New Roman"/>
        </w:rPr>
      </w:pPr>
    </w:p>
    <w:p w14:paraId="779FBB03" w14:textId="77777777" w:rsidR="0091550C" w:rsidRPr="0091550C" w:rsidRDefault="0091550C" w:rsidP="0091550C">
      <w:pPr>
        <w:rPr>
          <w:rFonts w:ascii="Times New Roman" w:hAnsi="Times New Roman" w:cs="Times New Roman"/>
        </w:rPr>
      </w:pPr>
      <w:r w:rsidRPr="0091550C">
        <w:rPr>
          <w:rFonts w:ascii="Times New Roman" w:hAnsi="Times New Roman" w:cs="Times New Roman"/>
          <w:b/>
          <w:bCs/>
        </w:rPr>
        <w:t>Methods</w:t>
      </w:r>
      <w:r w:rsidRPr="0091550C">
        <w:rPr>
          <w:rFonts w:ascii="Times New Roman" w:hAnsi="Times New Roman" w:cs="Times New Roman"/>
        </w:rPr>
        <w:t xml:space="preserve">: This prospective, open-label, single-center study included people living with HIV switching to BIC/F/TAF . HRQOL and cognitive function was assessed at baseline, 12 weeks, and 24 weeks. The PDDI scores were defined as 3 (do not co-administer), 2 (require dosage adjustment or further monitoring), 1 (weak interaction), and 0 (no interaction).  HRQOL measures was evaluated using the 20-question HIV symptom index (HSI). Cognitive function was assessed using the Montreal Cognitive Assessment test (MoCA). </w:t>
      </w:r>
    </w:p>
    <w:p w14:paraId="45D65A93" w14:textId="77777777" w:rsidR="0091550C" w:rsidRPr="0091550C" w:rsidRDefault="0091550C" w:rsidP="0091550C">
      <w:pPr>
        <w:rPr>
          <w:rFonts w:ascii="Times New Roman" w:hAnsi="Times New Roman" w:cs="Times New Roman"/>
        </w:rPr>
      </w:pPr>
    </w:p>
    <w:p w14:paraId="4B5D963D" w14:textId="77777777" w:rsidR="0091550C" w:rsidRPr="0091550C" w:rsidRDefault="0091550C" w:rsidP="0091550C">
      <w:pPr>
        <w:rPr>
          <w:rFonts w:ascii="Times New Roman" w:hAnsi="Times New Roman" w:cs="Times New Roman"/>
        </w:rPr>
      </w:pPr>
      <w:r w:rsidRPr="0091550C">
        <w:rPr>
          <w:rFonts w:ascii="Times New Roman" w:hAnsi="Times New Roman" w:cs="Times New Roman"/>
          <w:b/>
          <w:bCs/>
        </w:rPr>
        <w:t>Results</w:t>
      </w:r>
      <w:r w:rsidRPr="0091550C">
        <w:rPr>
          <w:rFonts w:ascii="Times New Roman" w:hAnsi="Times New Roman" w:cs="Times New Roman"/>
        </w:rPr>
        <w:t xml:space="preserve">: A total of 132 patients were enrolled with 97 being included in the polypharmacy cohort and 35 being included in non-polypharmacy cohort. The average number of PDDIs (SD) at baseline before switch was 1 (1) and 5 (4) for the non-polypharmacy and polypharmacy group, respectively. The average number of PDDIs (SD) at baseline after switch to BIC/F/TAF was 0.17 (0.38) and 1.12 (1.37) for the non-polypharmacy and polypharmacy group, respectively. The median baseline MoCA score (IQR) was 28 (27,29) and 27 (24,28) for non-polypharmacy and polypharmacy, respectively (p&lt;0.001). The median baseline HSI score (IQR) was 11 (5,28) and 21 (10,37) for non-polypharmacy and polypharmacy, respectively(p&lt;0.001).   </w:t>
      </w:r>
    </w:p>
    <w:p w14:paraId="60597E05" w14:textId="77777777" w:rsidR="0091550C" w:rsidRPr="0091550C" w:rsidRDefault="0091550C" w:rsidP="0091550C">
      <w:pPr>
        <w:rPr>
          <w:rFonts w:ascii="Times New Roman" w:hAnsi="Times New Roman" w:cs="Times New Roman"/>
        </w:rPr>
      </w:pPr>
    </w:p>
    <w:p w14:paraId="64447A2E" w14:textId="77777777" w:rsidR="0091550C" w:rsidRDefault="0091550C" w:rsidP="0091550C">
      <w:pPr>
        <w:rPr>
          <w:rFonts w:ascii="Times New Roman" w:hAnsi="Times New Roman" w:cs="Times New Roman"/>
        </w:rPr>
      </w:pPr>
      <w:r w:rsidRPr="0091550C">
        <w:rPr>
          <w:rFonts w:ascii="Times New Roman" w:hAnsi="Times New Roman" w:cs="Times New Roman"/>
          <w:b/>
          <w:bCs/>
        </w:rPr>
        <w:t>Conclusion</w:t>
      </w:r>
      <w:r w:rsidRPr="0091550C">
        <w:rPr>
          <w:rFonts w:ascii="Times New Roman" w:hAnsi="Times New Roman" w:cs="Times New Roman"/>
        </w:rPr>
        <w:t xml:space="preserve">: Switching to BIC/F/TAF has resulted in a significant reduction of PDDI. Polypharmacy patients experienced significantly lower cognitive function and worse HRQOL outcomes. These findings suggests a new approach for DDI management, particularly important for those experiencing polypharmacy. </w:t>
      </w:r>
    </w:p>
    <w:p w14:paraId="321013EC" w14:textId="77777777" w:rsidR="0091550C" w:rsidRDefault="009155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DD91D14" w14:textId="77777777" w:rsidR="00B62E57" w:rsidRPr="0091550C" w:rsidRDefault="00B62E57" w:rsidP="00B62E57">
      <w:pPr>
        <w:rPr>
          <w:rFonts w:ascii="Times New Roman" w:hAnsi="Times New Roman" w:cs="Times New Roman"/>
        </w:rPr>
      </w:pPr>
      <w:r w:rsidRPr="0091550C">
        <w:rPr>
          <w:rFonts w:ascii="Times New Roman" w:hAnsi="Times New Roman" w:cs="Times New Roman"/>
          <w:b/>
          <w:bCs/>
        </w:rPr>
        <w:lastRenderedPageBreak/>
        <w:t>Title</w:t>
      </w:r>
      <w:r>
        <w:rPr>
          <w:rFonts w:ascii="Times New Roman" w:hAnsi="Times New Roman" w:cs="Times New Roman"/>
        </w:rPr>
        <w:t xml:space="preserve">: </w:t>
      </w:r>
      <w:r w:rsidRPr="0091550C">
        <w:rPr>
          <w:rFonts w:ascii="Times New Roman" w:hAnsi="Times New Roman" w:cs="Times New Roman"/>
        </w:rPr>
        <w:t>The Influence of State Restrictions on Opioid Prescribing: 2006 – 2018</w:t>
      </w:r>
    </w:p>
    <w:p w14:paraId="7D3D41A8" w14:textId="77777777" w:rsidR="00B62E57" w:rsidRDefault="00B62E57" w:rsidP="0091550C">
      <w:pPr>
        <w:rPr>
          <w:rFonts w:ascii="Times New Roman" w:hAnsi="Times New Roman" w:cs="Times New Roman"/>
          <w:b/>
          <w:bCs/>
        </w:rPr>
      </w:pPr>
    </w:p>
    <w:p w14:paraId="320CCF7B" w14:textId="77777777" w:rsidR="0091550C" w:rsidRDefault="0091550C" w:rsidP="0091550C">
      <w:pPr>
        <w:rPr>
          <w:rFonts w:ascii="Times New Roman" w:hAnsi="Times New Roman" w:cs="Times New Roman"/>
        </w:rPr>
      </w:pPr>
      <w:r w:rsidRPr="0091550C">
        <w:rPr>
          <w:rFonts w:ascii="Times New Roman" w:hAnsi="Times New Roman" w:cs="Times New Roman"/>
          <w:b/>
          <w:bCs/>
        </w:rPr>
        <w:t>Authors</w:t>
      </w:r>
      <w:r>
        <w:rPr>
          <w:rFonts w:ascii="Times New Roman" w:hAnsi="Times New Roman" w:cs="Times New Roman"/>
        </w:rPr>
        <w:t xml:space="preserve">: </w:t>
      </w:r>
      <w:r w:rsidRPr="0091550C">
        <w:rPr>
          <w:rFonts w:ascii="Times New Roman" w:hAnsi="Times New Roman" w:cs="Times New Roman"/>
        </w:rPr>
        <w:t>Luis Midence, MPH, Jacob J. Hayes, Pharm.D., Justin-Theodore Gondeck, Pharm.D., Kaitlin Moy, Pharm.D., MPH,</w:t>
      </w:r>
      <w:r>
        <w:rPr>
          <w:rFonts w:ascii="Times New Roman" w:hAnsi="Times New Roman" w:cs="Times New Roman"/>
        </w:rPr>
        <w:t xml:space="preserve"> </w:t>
      </w:r>
      <w:r w:rsidRPr="0091550C">
        <w:rPr>
          <w:rFonts w:ascii="Times New Roman" w:hAnsi="Times New Roman" w:cs="Times New Roman"/>
        </w:rPr>
        <w:t xml:space="preserve">Mei-Hsiu Chen, PhD, John D. Hogan, J.D., Leon E. Cosler, PhD; </w:t>
      </w:r>
    </w:p>
    <w:p w14:paraId="3080687E" w14:textId="77777777" w:rsidR="0091550C" w:rsidRDefault="0091550C" w:rsidP="0091550C">
      <w:pPr>
        <w:rPr>
          <w:rFonts w:ascii="Times New Roman" w:hAnsi="Times New Roman" w:cs="Times New Roman"/>
        </w:rPr>
      </w:pPr>
    </w:p>
    <w:p w14:paraId="49357633" w14:textId="77777777" w:rsidR="0091550C" w:rsidRPr="0091550C" w:rsidRDefault="0091550C" w:rsidP="0091550C">
      <w:pPr>
        <w:rPr>
          <w:rFonts w:ascii="Times New Roman" w:hAnsi="Times New Roman" w:cs="Times New Roman"/>
        </w:rPr>
      </w:pPr>
      <w:r w:rsidRPr="0091550C">
        <w:rPr>
          <w:rFonts w:ascii="Times New Roman" w:hAnsi="Times New Roman" w:cs="Times New Roman"/>
          <w:b/>
          <w:bCs/>
        </w:rPr>
        <w:t>Purpose</w:t>
      </w:r>
      <w:r w:rsidRPr="0091550C">
        <w:rPr>
          <w:rFonts w:ascii="Times New Roman" w:hAnsi="Times New Roman" w:cs="Times New Roman"/>
        </w:rPr>
        <w:t>: Reducing the overabundance of prescribed opioids is an important strategy to address potential opioid</w:t>
      </w:r>
      <w:r w:rsidR="001E6E10">
        <w:rPr>
          <w:rFonts w:ascii="Times New Roman" w:hAnsi="Times New Roman" w:cs="Times New Roman"/>
        </w:rPr>
        <w:t xml:space="preserve"> </w:t>
      </w:r>
      <w:r w:rsidRPr="0091550C">
        <w:rPr>
          <w:rFonts w:ascii="Times New Roman" w:hAnsi="Times New Roman" w:cs="Times New Roman"/>
        </w:rPr>
        <w:t>misuse. Many states have adopted a variety of legal or regulatory restrictions designed to reduce the number of</w:t>
      </w:r>
      <w:r w:rsidR="001E6E10">
        <w:rPr>
          <w:rFonts w:ascii="Times New Roman" w:hAnsi="Times New Roman" w:cs="Times New Roman"/>
        </w:rPr>
        <w:t xml:space="preserve"> </w:t>
      </w:r>
      <w:r w:rsidRPr="0091550C">
        <w:rPr>
          <w:rFonts w:ascii="Times New Roman" w:hAnsi="Times New Roman" w:cs="Times New Roman"/>
        </w:rPr>
        <w:t>prescribed opioids. There has been minimal publications evaluating these policies. The primary aim of this analysis</w:t>
      </w:r>
      <w:r w:rsidR="00D8341D">
        <w:rPr>
          <w:rFonts w:ascii="Times New Roman" w:hAnsi="Times New Roman" w:cs="Times New Roman"/>
        </w:rPr>
        <w:t xml:space="preserve"> </w:t>
      </w:r>
      <w:r w:rsidRPr="0091550C">
        <w:rPr>
          <w:rFonts w:ascii="Times New Roman" w:hAnsi="Times New Roman" w:cs="Times New Roman"/>
        </w:rPr>
        <w:t>was to measure the longitudinal effect of opioid restrictions on prescribing patterns at the state and regional levels.  </w:t>
      </w:r>
    </w:p>
    <w:p w14:paraId="230466DC" w14:textId="77777777" w:rsidR="005729E2" w:rsidRDefault="005729E2" w:rsidP="0091550C">
      <w:pPr>
        <w:rPr>
          <w:rFonts w:ascii="Times New Roman" w:hAnsi="Times New Roman" w:cs="Times New Roman"/>
        </w:rPr>
      </w:pPr>
    </w:p>
    <w:p w14:paraId="7AEAC1B6" w14:textId="77777777" w:rsidR="0091550C" w:rsidRPr="0091550C" w:rsidRDefault="0091550C" w:rsidP="0091550C">
      <w:pPr>
        <w:rPr>
          <w:rFonts w:ascii="Times New Roman" w:hAnsi="Times New Roman" w:cs="Times New Roman"/>
        </w:rPr>
      </w:pPr>
      <w:r w:rsidRPr="005729E2">
        <w:rPr>
          <w:rFonts w:ascii="Times New Roman" w:hAnsi="Times New Roman" w:cs="Times New Roman"/>
          <w:b/>
          <w:bCs/>
        </w:rPr>
        <w:t>Methods</w:t>
      </w:r>
      <w:r w:rsidRPr="0091550C">
        <w:rPr>
          <w:rFonts w:ascii="Times New Roman" w:hAnsi="Times New Roman" w:cs="Times New Roman"/>
        </w:rPr>
        <w:t>: State-specific prescribed opioids between 2006 and 2018 were extracted from CDC reports; population</w:t>
      </w:r>
      <w:r w:rsidR="005729E2">
        <w:rPr>
          <w:rFonts w:ascii="Times New Roman" w:hAnsi="Times New Roman" w:cs="Times New Roman"/>
        </w:rPr>
        <w:t xml:space="preserve"> </w:t>
      </w:r>
      <w:r w:rsidRPr="0091550C">
        <w:rPr>
          <w:rFonts w:ascii="Times New Roman" w:hAnsi="Times New Roman" w:cs="Times New Roman"/>
        </w:rPr>
        <w:t>data was obtained from the U.S. Census Bureau; and opioid prescribing restrictions were extracted from published</w:t>
      </w:r>
      <w:r w:rsidR="005729E2">
        <w:rPr>
          <w:rFonts w:ascii="Times New Roman" w:hAnsi="Times New Roman" w:cs="Times New Roman"/>
        </w:rPr>
        <w:t xml:space="preserve"> </w:t>
      </w:r>
      <w:r w:rsidRPr="0091550C">
        <w:rPr>
          <w:rFonts w:ascii="Times New Roman" w:hAnsi="Times New Roman" w:cs="Times New Roman"/>
        </w:rPr>
        <w:t>reports and state regulatory databases. Poisson regression models were fitted to assess the longitudinal relationship</w:t>
      </w:r>
      <w:r w:rsidR="005729E2">
        <w:rPr>
          <w:rFonts w:ascii="Times New Roman" w:hAnsi="Times New Roman" w:cs="Times New Roman"/>
        </w:rPr>
        <w:t xml:space="preserve"> </w:t>
      </w:r>
      <w:r w:rsidRPr="0091550C">
        <w:rPr>
          <w:rFonts w:ascii="Times New Roman" w:hAnsi="Times New Roman" w:cs="Times New Roman"/>
        </w:rPr>
        <w:t>of statewide restrictions on opioid prescribing rates. Main variables incorporated into the poisson model were rude</w:t>
      </w:r>
      <w:r w:rsidR="005729E2">
        <w:rPr>
          <w:rFonts w:ascii="Times New Roman" w:hAnsi="Times New Roman" w:cs="Times New Roman"/>
        </w:rPr>
        <w:t xml:space="preserve"> </w:t>
      </w:r>
      <w:r w:rsidRPr="0091550C">
        <w:rPr>
          <w:rFonts w:ascii="Times New Roman" w:hAnsi="Times New Roman" w:cs="Times New Roman"/>
        </w:rPr>
        <w:t>opioid counts by state by year, population for states by year, regional groups based on census groups, &amp;amp; the</w:t>
      </w:r>
      <w:r w:rsidR="005729E2">
        <w:rPr>
          <w:rFonts w:ascii="Times New Roman" w:hAnsi="Times New Roman" w:cs="Times New Roman"/>
        </w:rPr>
        <w:t xml:space="preserve"> </w:t>
      </w:r>
      <w:r w:rsidRPr="0091550C">
        <w:rPr>
          <w:rFonts w:ascii="Times New Roman" w:hAnsi="Times New Roman" w:cs="Times New Roman"/>
        </w:rPr>
        <w:t>implementation and duration of a prescribing law that limited opioid availability.</w:t>
      </w:r>
    </w:p>
    <w:p w14:paraId="1B166160" w14:textId="77777777" w:rsidR="005729E2" w:rsidRDefault="005729E2" w:rsidP="0091550C">
      <w:pPr>
        <w:rPr>
          <w:rFonts w:ascii="Times New Roman" w:hAnsi="Times New Roman" w:cs="Times New Roman"/>
        </w:rPr>
      </w:pPr>
    </w:p>
    <w:p w14:paraId="44A255E6" w14:textId="77777777" w:rsidR="0091550C" w:rsidRPr="0091550C" w:rsidRDefault="0091550C" w:rsidP="0091550C">
      <w:pPr>
        <w:rPr>
          <w:rFonts w:ascii="Times New Roman" w:hAnsi="Times New Roman" w:cs="Times New Roman"/>
        </w:rPr>
      </w:pPr>
      <w:r w:rsidRPr="005729E2">
        <w:rPr>
          <w:rFonts w:ascii="Times New Roman" w:hAnsi="Times New Roman" w:cs="Times New Roman"/>
          <w:b/>
          <w:bCs/>
        </w:rPr>
        <w:t>Results</w:t>
      </w:r>
      <w:r w:rsidRPr="0091550C">
        <w:rPr>
          <w:rFonts w:ascii="Times New Roman" w:hAnsi="Times New Roman" w:cs="Times New Roman"/>
        </w:rPr>
        <w:t>: Per capita rates of prescribed opioids peaked in 2012 at 86.2 per 100</w:t>
      </w:r>
      <w:r w:rsidR="005729E2">
        <w:rPr>
          <w:rFonts w:ascii="Times New Roman" w:hAnsi="Times New Roman" w:cs="Times New Roman"/>
        </w:rPr>
        <w:t xml:space="preserve"> </w:t>
      </w:r>
      <w:r w:rsidRPr="0091550C">
        <w:rPr>
          <w:rFonts w:ascii="Times New Roman" w:hAnsi="Times New Roman" w:cs="Times New Roman"/>
        </w:rPr>
        <w:t>population. Prescribing restrictions are</w:t>
      </w:r>
      <w:r w:rsidR="005729E2">
        <w:rPr>
          <w:rFonts w:ascii="Times New Roman" w:hAnsi="Times New Roman" w:cs="Times New Roman"/>
        </w:rPr>
        <w:t xml:space="preserve"> </w:t>
      </w:r>
      <w:r w:rsidRPr="0091550C">
        <w:rPr>
          <w:rFonts w:ascii="Times New Roman" w:hAnsi="Times New Roman" w:cs="Times New Roman"/>
        </w:rPr>
        <w:t>associated with statistically significant decreases in opioid prescribing with the largest reduction during the fourth</w:t>
      </w:r>
      <w:r w:rsidR="005729E2">
        <w:rPr>
          <w:rFonts w:ascii="Times New Roman" w:hAnsi="Times New Roman" w:cs="Times New Roman"/>
        </w:rPr>
        <w:t xml:space="preserve"> </w:t>
      </w:r>
      <w:r w:rsidRPr="0091550C">
        <w:rPr>
          <w:rFonts w:ascii="Times New Roman" w:hAnsi="Times New Roman" w:cs="Times New Roman"/>
        </w:rPr>
        <w:t>year after enactment of restrictions. Controlling for population and year, The model estimated that for every 100</w:t>
      </w:r>
      <w:r w:rsidR="005729E2">
        <w:rPr>
          <w:rFonts w:ascii="Times New Roman" w:hAnsi="Times New Roman" w:cs="Times New Roman"/>
        </w:rPr>
        <w:t xml:space="preserve"> </w:t>
      </w:r>
      <w:r w:rsidRPr="0091550C">
        <w:rPr>
          <w:rFonts w:ascii="Times New Roman" w:hAnsi="Times New Roman" w:cs="Times New Roman"/>
        </w:rPr>
        <w:t>opioid prescriptions in a state without restrictions, only 96 opioid prescriptions are expected in a state</w:t>
      </w:r>
      <w:r w:rsidR="005729E2">
        <w:rPr>
          <w:rFonts w:ascii="Times New Roman" w:hAnsi="Times New Roman" w:cs="Times New Roman"/>
        </w:rPr>
        <w:t xml:space="preserve"> </w:t>
      </w:r>
      <w:r w:rsidRPr="0091550C">
        <w:rPr>
          <w:rFonts w:ascii="Times New Roman" w:hAnsi="Times New Roman" w:cs="Times New Roman"/>
        </w:rPr>
        <w:t>with</w:t>
      </w:r>
      <w:r w:rsidR="005729E2">
        <w:rPr>
          <w:rFonts w:ascii="Times New Roman" w:hAnsi="Times New Roman" w:cs="Times New Roman"/>
        </w:rPr>
        <w:t xml:space="preserve"> </w:t>
      </w:r>
      <w:r w:rsidRPr="0091550C">
        <w:rPr>
          <w:rFonts w:ascii="Times New Roman" w:hAnsi="Times New Roman" w:cs="Times New Roman"/>
        </w:rPr>
        <w:t xml:space="preserve">restrictions in place </w:t>
      </w:r>
      <w:r w:rsidRPr="00B62E57">
        <w:rPr>
          <w:rFonts w:ascii="Times New Roman" w:hAnsi="Times New Roman" w:cs="Times New Roman"/>
        </w:rPr>
        <w:t>(</w:t>
      </w:r>
      <w:r w:rsidR="00B62E57" w:rsidRPr="00B62E57">
        <w:rPr>
          <w:rFonts w:ascii="Times New Roman" w:hAnsi="Times New Roman" w:cs="Times New Roman"/>
        </w:rPr>
        <w:t>p&lt;</w:t>
      </w:r>
      <w:r w:rsidRPr="00B62E57">
        <w:rPr>
          <w:rFonts w:ascii="Times New Roman" w:hAnsi="Times New Roman" w:cs="Times New Roman"/>
        </w:rPr>
        <w:t>0.001).</w:t>
      </w:r>
    </w:p>
    <w:p w14:paraId="22C630F9" w14:textId="77777777" w:rsidR="005729E2" w:rsidRDefault="005729E2" w:rsidP="0091550C">
      <w:pPr>
        <w:rPr>
          <w:rFonts w:ascii="Times New Roman" w:hAnsi="Times New Roman" w:cs="Times New Roman"/>
        </w:rPr>
      </w:pPr>
    </w:p>
    <w:p w14:paraId="285180D2" w14:textId="77777777" w:rsidR="0091550C" w:rsidRPr="0091550C" w:rsidRDefault="0091550C" w:rsidP="0091550C">
      <w:pPr>
        <w:rPr>
          <w:rFonts w:ascii="Times New Roman" w:hAnsi="Times New Roman" w:cs="Times New Roman"/>
        </w:rPr>
      </w:pPr>
      <w:r w:rsidRPr="005729E2">
        <w:rPr>
          <w:rFonts w:ascii="Times New Roman" w:hAnsi="Times New Roman" w:cs="Times New Roman"/>
          <w:b/>
          <w:bCs/>
        </w:rPr>
        <w:t>Conclusions</w:t>
      </w:r>
      <w:r w:rsidRPr="0091550C">
        <w:rPr>
          <w:rFonts w:ascii="Times New Roman" w:hAnsi="Times New Roman" w:cs="Times New Roman"/>
        </w:rPr>
        <w:t>: Contrary to other research conducted over a shorter study period, we found that restrictions do reduce</w:t>
      </w:r>
      <w:r w:rsidR="005729E2">
        <w:rPr>
          <w:rFonts w:ascii="Times New Roman" w:hAnsi="Times New Roman" w:cs="Times New Roman"/>
        </w:rPr>
        <w:t xml:space="preserve"> </w:t>
      </w:r>
      <w:r w:rsidRPr="0091550C">
        <w:rPr>
          <w:rFonts w:ascii="Times New Roman" w:hAnsi="Times New Roman" w:cs="Times New Roman"/>
        </w:rPr>
        <w:t>opioid prescribing, however a statistically significant change in rates may not be detectable until four years or more</w:t>
      </w:r>
      <w:r w:rsidR="005729E2">
        <w:rPr>
          <w:rFonts w:ascii="Times New Roman" w:hAnsi="Times New Roman" w:cs="Times New Roman"/>
        </w:rPr>
        <w:t xml:space="preserve"> </w:t>
      </w:r>
      <w:r w:rsidRPr="0091550C">
        <w:rPr>
          <w:rFonts w:ascii="Times New Roman" w:hAnsi="Times New Roman" w:cs="Times New Roman"/>
        </w:rPr>
        <w:t>after restrictions are implemented. While accounting for the differences between states and regions we were able to</w:t>
      </w:r>
      <w:r w:rsidR="005729E2">
        <w:rPr>
          <w:rFonts w:ascii="Times New Roman" w:hAnsi="Times New Roman" w:cs="Times New Roman"/>
        </w:rPr>
        <w:t xml:space="preserve"> </w:t>
      </w:r>
      <w:r w:rsidRPr="0091550C">
        <w:rPr>
          <w:rFonts w:ascii="Times New Roman" w:hAnsi="Times New Roman" w:cs="Times New Roman"/>
        </w:rPr>
        <w:t>illustrate modest, statistically significant differences in estimated opioid counts that can be correlated with opioid</w:t>
      </w:r>
    </w:p>
    <w:p w14:paraId="59C7D340" w14:textId="77777777" w:rsidR="0091550C" w:rsidRDefault="0091550C" w:rsidP="0091550C">
      <w:pPr>
        <w:rPr>
          <w:rFonts w:ascii="Times New Roman" w:hAnsi="Times New Roman" w:cs="Times New Roman"/>
        </w:rPr>
      </w:pPr>
      <w:r w:rsidRPr="0091550C">
        <w:rPr>
          <w:rFonts w:ascii="Times New Roman" w:hAnsi="Times New Roman" w:cs="Times New Roman"/>
        </w:rPr>
        <w:t>prescribing restrictions.</w:t>
      </w:r>
    </w:p>
    <w:p w14:paraId="62002BB8" w14:textId="77777777" w:rsidR="00D8341D" w:rsidRDefault="00D834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B9A1A25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  <w:b/>
          <w:bCs/>
        </w:rPr>
        <w:lastRenderedPageBreak/>
        <w:t>Title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Urine Trouble: Alarming Multidrug Resistant Uropathogens in Persons with Diabetes Admitted from the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Community</w:t>
      </w:r>
    </w:p>
    <w:p w14:paraId="21E9D14A" w14:textId="77777777" w:rsidR="00B62E57" w:rsidRDefault="00B62E57" w:rsidP="00B62E57">
      <w:pPr>
        <w:rPr>
          <w:rFonts w:ascii="Times New Roman" w:hAnsi="Times New Roman" w:cs="Times New Roman"/>
        </w:rPr>
      </w:pPr>
    </w:p>
    <w:p w14:paraId="220EC12D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  <w:b/>
          <w:bCs/>
        </w:rPr>
        <w:t>Authors</w:t>
      </w:r>
      <w:r w:rsidRPr="00B62E57">
        <w:rPr>
          <w:rFonts w:ascii="Times New Roman" w:hAnsi="Times New Roman" w:cs="Times New Roman"/>
        </w:rPr>
        <w:t>: Alexander Leidolf, Rylee TePoel, Emily Bu</w:t>
      </w:r>
      <w:r>
        <w:rPr>
          <w:rFonts w:ascii="Times New Roman" w:hAnsi="Times New Roman" w:cs="Times New Roman"/>
        </w:rPr>
        <w:t>i</w:t>
      </w:r>
      <w:r w:rsidRPr="00B62E57">
        <w:rPr>
          <w:rFonts w:ascii="Times New Roman" w:hAnsi="Times New Roman" w:cs="Times New Roman"/>
        </w:rPr>
        <w:t>, Diamond Orj</w:t>
      </w:r>
      <w:r>
        <w:rPr>
          <w:rFonts w:ascii="Times New Roman" w:hAnsi="Times New Roman" w:cs="Times New Roman"/>
        </w:rPr>
        <w:t>i</w:t>
      </w:r>
      <w:r w:rsidRPr="00B62E57">
        <w:rPr>
          <w:rFonts w:ascii="Times New Roman" w:hAnsi="Times New Roman" w:cs="Times New Roman"/>
        </w:rPr>
        <w:t>, Aaron Lee, Benjamin Daigler, Raymond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Cha</w:t>
      </w:r>
    </w:p>
    <w:p w14:paraId="2B15A527" w14:textId="77777777" w:rsidR="00B62E57" w:rsidRDefault="00B62E57" w:rsidP="00B62E57">
      <w:pPr>
        <w:rPr>
          <w:rFonts w:ascii="Times New Roman" w:hAnsi="Times New Roman" w:cs="Times New Roman"/>
        </w:rPr>
      </w:pPr>
    </w:p>
    <w:p w14:paraId="786D9FC8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  <w:b/>
          <w:bCs/>
        </w:rPr>
        <w:t>Purpose</w:t>
      </w:r>
      <w:r w:rsidRPr="00B62E5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Diabetes may predispose individuals to urinary tract infections prompting the need for increased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antibiotic use. Therefore we performed a clinical microbiological evaluation to describe the potential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relation between diabetes and antimicrobial resistance.</w:t>
      </w:r>
    </w:p>
    <w:p w14:paraId="2097BAF6" w14:textId="77777777" w:rsidR="00B62E57" w:rsidRPr="00B62E57" w:rsidRDefault="00B62E57" w:rsidP="00B62E57">
      <w:pPr>
        <w:rPr>
          <w:rFonts w:ascii="Times New Roman" w:hAnsi="Times New Roman" w:cs="Times New Roman"/>
        </w:rPr>
      </w:pPr>
    </w:p>
    <w:p w14:paraId="77EC3A38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  <w:b/>
          <w:bCs/>
        </w:rPr>
        <w:t>Methods</w:t>
      </w:r>
      <w:r w:rsidRPr="00B62E57">
        <w:rPr>
          <w:rFonts w:ascii="Times New Roman" w:hAnsi="Times New Roman" w:cs="Times New Roman"/>
        </w:rPr>
        <w:t>: Multi-center retrospective comparative evaluation of hospitalized patients identified with a urinary tract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infection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(UTI) using ICD-10 codes. Of these patients those with diabetes were compared in a 2:1 fashion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to those without. Patients included were ≥18 who received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antibiotics for UTI ≤12 hours of presentation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to the hospital with expected treatment for ≥3days. Exclusion criteria included negative urine culture and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lack of antibiotic susceptibility. Data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included comorbidities, length of stay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(LOS), 30-day readmission,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urinalysis, previous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hospitalizations, antibiotics, long-term care residence, and recent surgery. Categorical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antimicrobial resistances were associated to patient factors using regression.</w:t>
      </w:r>
    </w:p>
    <w:p w14:paraId="3C8261CB" w14:textId="77777777" w:rsidR="00B62E57" w:rsidRPr="00B62E57" w:rsidRDefault="00B62E57" w:rsidP="00B62E57">
      <w:pPr>
        <w:rPr>
          <w:rFonts w:ascii="Times New Roman" w:hAnsi="Times New Roman" w:cs="Times New Roman"/>
        </w:rPr>
      </w:pPr>
    </w:p>
    <w:p w14:paraId="70EE6E80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  <w:b/>
          <w:bCs/>
        </w:rPr>
        <w:t>Results</w:t>
      </w:r>
      <w:r w:rsidRPr="00B62E5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Data was collected on 345 subjects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(230-diabetics and 115-nondiabetics) from three northeast US hospital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centers. Majority of patients resided in the community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(81.2%) prior to presentation with a mean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age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(years) of 67.4±13.8 and majority females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(64%). The Charlson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Comorbidity Index median was 4 for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both groups. There were no significant differences in demographics and antibiotic use between groups.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Common antibiotics were cephalosporins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(46%) followed by fluoroquinolones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(24%). The average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LOS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(days) was 10.1±9.4 and 6.1±8.1 for diabetic and nondiabetic groups respectively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(p=0.22). Incidence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of MDR pathogens was 41%vs.10% for diabetic and nondiabetic groups, respectively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(p=0.011). The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incidence of ESBL-producing organisms was 29% for diabetic and 7% for nondiabetic groups,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respectively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(p=0.04). While diabetes was not associated with an increased LOS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(AOR 1.11,0.81-1.22),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readmission rates were associated with resistance(AOR 3.77,2.88-4.56) and diabetes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(AOR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1.99,1.44-2.71).</w:t>
      </w:r>
    </w:p>
    <w:p w14:paraId="061228D4" w14:textId="77777777" w:rsidR="00B62E57" w:rsidRDefault="00B62E57" w:rsidP="00B62E57">
      <w:pPr>
        <w:rPr>
          <w:rFonts w:ascii="Times New Roman" w:hAnsi="Times New Roman" w:cs="Times New Roman"/>
        </w:rPr>
      </w:pPr>
    </w:p>
    <w:p w14:paraId="01B4F81B" w14:textId="77777777" w:rsidR="00D8341D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  <w:b/>
          <w:bCs/>
        </w:rPr>
        <w:t>Conclusions</w:t>
      </w:r>
      <w:r w:rsidRPr="00B62E57">
        <w:rPr>
          <w:rFonts w:ascii="Times New Roman" w:hAnsi="Times New Roman" w:cs="Times New Roman"/>
        </w:rPr>
        <w:t>: Patients with diabetes may be at an increased risk for developing clinically significant antimicrobial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resistance. This data demonstrates an alarming percentage of antimicrobial resistant threats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(i.e ESBL-producing organisms) in patients directly admitted from the community and has large implications on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cautionary use of empiric antibiotics for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hospitalized diabetic patients with UTI.</w:t>
      </w:r>
    </w:p>
    <w:p w14:paraId="169EC1EF" w14:textId="77777777" w:rsidR="00B62E57" w:rsidRDefault="00B62E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382A20D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  <w:b/>
          <w:bCs/>
        </w:rPr>
        <w:lastRenderedPageBreak/>
        <w:t>Title</w:t>
      </w:r>
      <w:r>
        <w:rPr>
          <w:rFonts w:ascii="Times New Roman" w:hAnsi="Times New Roman" w:cs="Times New Roman"/>
        </w:rPr>
        <w:t xml:space="preserve">: </w:t>
      </w:r>
      <w:r w:rsidRPr="00B62E57">
        <w:rPr>
          <w:rFonts w:ascii="Times New Roman" w:hAnsi="Times New Roman" w:cs="Times New Roman"/>
        </w:rPr>
        <w:t>Methenamine for Urinary Tract Infection Prophylaxis: A Systematic Review</w:t>
      </w:r>
    </w:p>
    <w:p w14:paraId="258FAE5B" w14:textId="77777777" w:rsidR="00B62E57" w:rsidRDefault="00B62E57" w:rsidP="00B62E57">
      <w:pPr>
        <w:rPr>
          <w:rFonts w:ascii="Times New Roman" w:hAnsi="Times New Roman" w:cs="Times New Roman"/>
        </w:rPr>
      </w:pPr>
    </w:p>
    <w:p w14:paraId="1420A68A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  <w:b/>
          <w:bCs/>
        </w:rPr>
        <w:t>Authors</w:t>
      </w:r>
      <w:r>
        <w:rPr>
          <w:rFonts w:ascii="Times New Roman" w:hAnsi="Times New Roman" w:cs="Times New Roman"/>
        </w:rPr>
        <w:t xml:space="preserve">: </w:t>
      </w:r>
      <w:r w:rsidRPr="00B62E57">
        <w:rPr>
          <w:rFonts w:ascii="Times New Roman" w:hAnsi="Times New Roman" w:cs="Times New Roman"/>
        </w:rPr>
        <w:t xml:space="preserve">Mei Li, Leon E. Cosler, </w:t>
      </w:r>
      <w:r>
        <w:rPr>
          <w:rFonts w:ascii="Times New Roman" w:hAnsi="Times New Roman" w:cs="Times New Roman"/>
        </w:rPr>
        <w:t xml:space="preserve">PharmD, </w:t>
      </w:r>
      <w:r w:rsidRPr="00B62E57">
        <w:rPr>
          <w:rFonts w:ascii="Times New Roman" w:hAnsi="Times New Roman" w:cs="Times New Roman"/>
        </w:rPr>
        <w:t>Ph.D., Elizabeth P. Harausz, M.D., MPH</w:t>
      </w:r>
      <w:r>
        <w:rPr>
          <w:rFonts w:ascii="Times New Roman" w:hAnsi="Times New Roman" w:cs="Times New Roman"/>
        </w:rPr>
        <w:t xml:space="preserve">, </w:t>
      </w:r>
      <w:r w:rsidRPr="00B62E57">
        <w:rPr>
          <w:rFonts w:ascii="Times New Roman" w:hAnsi="Times New Roman" w:cs="Times New Roman"/>
        </w:rPr>
        <w:t>Courtney E. Myers,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M.D.</w:t>
      </w:r>
      <w:r>
        <w:rPr>
          <w:rFonts w:ascii="Times New Roman" w:hAnsi="Times New Roman" w:cs="Times New Roman"/>
        </w:rPr>
        <w:t xml:space="preserve">, </w:t>
      </w:r>
      <w:r w:rsidRPr="00B62E57">
        <w:rPr>
          <w:rFonts w:ascii="Times New Roman" w:hAnsi="Times New Roman" w:cs="Times New Roman"/>
        </w:rPr>
        <w:t>Wesley D. Kufel, Pharm.D., BCPS, BCIDP, AAHIVP</w:t>
      </w:r>
    </w:p>
    <w:p w14:paraId="43A1A891" w14:textId="77777777" w:rsidR="00B62E57" w:rsidRPr="00B62E57" w:rsidRDefault="00B62E57" w:rsidP="00B62E57">
      <w:pPr>
        <w:rPr>
          <w:rFonts w:ascii="Times New Roman" w:hAnsi="Times New Roman" w:cs="Times New Roman"/>
        </w:rPr>
      </w:pPr>
    </w:p>
    <w:p w14:paraId="2BCC9180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  <w:b/>
          <w:bCs/>
        </w:rPr>
        <w:t>Purpose</w:t>
      </w:r>
      <w:r w:rsidRPr="00B62E57">
        <w:rPr>
          <w:rFonts w:ascii="Times New Roman" w:hAnsi="Times New Roman" w:cs="Times New Roman"/>
        </w:rPr>
        <w:t>: Urinary tract infections (UTIs) are highly prevalent and commonly affect many patient</w:t>
      </w:r>
    </w:p>
    <w:p w14:paraId="61F6B8A2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</w:rPr>
        <w:t>populations including older adults. Recurrent UTIs can be particularly problematic and lead to</w:t>
      </w:r>
    </w:p>
    <w:p w14:paraId="51161696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</w:rPr>
        <w:t>potential hospitalizations, and multiple antibiotic courses, and have a potential negative impact</w:t>
      </w:r>
    </w:p>
    <w:p w14:paraId="576D5C5F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</w:rPr>
        <w:t>on quality of life. To prevent UTIs, antibiotics are frequently used for prophylaxis; however,</w:t>
      </w:r>
    </w:p>
    <w:p w14:paraId="197D8739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</w:rPr>
        <w:t>antibiotic prophylaxis has notable untoward consequences including but not limited to potential</w:t>
      </w:r>
    </w:p>
    <w:p w14:paraId="7FB95FF5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</w:rPr>
        <w:t>adverse effects and development of antibiotic resistance. Methenamine, which is an antiseptic</w:t>
      </w:r>
    </w:p>
    <w:p w14:paraId="05A33A6F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</w:rPr>
        <w:t>agent that was initially available in 1967, has re-emerged as a potential option for UTI</w:t>
      </w:r>
    </w:p>
    <w:p w14:paraId="620574B0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</w:rPr>
        <w:t>prophylaxis.</w:t>
      </w:r>
    </w:p>
    <w:p w14:paraId="065A5EE7" w14:textId="77777777" w:rsidR="00B62E57" w:rsidRPr="00B62E57" w:rsidRDefault="00B62E57" w:rsidP="00B62E57">
      <w:pPr>
        <w:rPr>
          <w:rFonts w:ascii="Times New Roman" w:hAnsi="Times New Roman" w:cs="Times New Roman"/>
        </w:rPr>
      </w:pPr>
    </w:p>
    <w:p w14:paraId="53F78B06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  <w:b/>
          <w:bCs/>
        </w:rPr>
        <w:t>Method</w:t>
      </w:r>
      <w:r w:rsidRPr="00B62E57">
        <w:rPr>
          <w:rFonts w:ascii="Times New Roman" w:hAnsi="Times New Roman" w:cs="Times New Roman"/>
        </w:rPr>
        <w:t>: Studies have evaluated the efficacy and safety of methenamine for UTI prophylaxis in</w:t>
      </w:r>
    </w:p>
    <w:p w14:paraId="5A9D4D7B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</w:rPr>
        <w:t>various populations, including older adults and renal transplant recipients. This systematic</w:t>
      </w:r>
    </w:p>
    <w:p w14:paraId="5FB23B87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</w:rPr>
        <w:t>review aims to evaluate these data through a literature search conducted in June 2023 that</w:t>
      </w:r>
    </w:p>
    <w:p w14:paraId="53A28DB2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</w:rPr>
        <w:t>identified 57 studies from Pubmed, Embase, and Cochrane Library, with 11 studies for inclusion.</w:t>
      </w:r>
    </w:p>
    <w:p w14:paraId="1E22D5D6" w14:textId="77777777" w:rsidR="00B62E57" w:rsidRPr="00B62E57" w:rsidRDefault="00B62E57" w:rsidP="00B62E57">
      <w:pPr>
        <w:rPr>
          <w:rFonts w:ascii="Times New Roman" w:hAnsi="Times New Roman" w:cs="Times New Roman"/>
        </w:rPr>
      </w:pPr>
    </w:p>
    <w:p w14:paraId="397222FF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  <w:b/>
          <w:bCs/>
        </w:rPr>
        <w:t>Results</w:t>
      </w:r>
      <w:r w:rsidRPr="00B62E57">
        <w:rPr>
          <w:rFonts w:ascii="Times New Roman" w:hAnsi="Times New Roman" w:cs="Times New Roman"/>
        </w:rPr>
        <w:t>: These studies demonstrated that methenamine reduces symptomatic UTI occurrence(s)</w:t>
      </w:r>
    </w:p>
    <w:p w14:paraId="6AB56993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</w:rPr>
        <w:t>compared to pre-methenamine use or or improved clinical effectiveness overall compared to low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dose antibiotic prophylaxis. Methenamine was generally well-tolerated overall and better</w:t>
      </w:r>
    </w:p>
    <w:p w14:paraId="4CA01D8B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</w:rPr>
        <w:t>tolerated than comparator low dose antibiotics. Among renal transplant patients, methenamine</w:t>
      </w:r>
    </w:p>
    <w:p w14:paraId="359A41FA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</w:rPr>
        <w:t>has demonstrated benefit in reducing UTIs and hospitalizations.</w:t>
      </w:r>
    </w:p>
    <w:p w14:paraId="79E1DD8C" w14:textId="77777777" w:rsidR="00B62E57" w:rsidRPr="00B62E57" w:rsidRDefault="00B62E57" w:rsidP="00B62E57">
      <w:pPr>
        <w:rPr>
          <w:rFonts w:ascii="Times New Roman" w:hAnsi="Times New Roman" w:cs="Times New Roman"/>
        </w:rPr>
      </w:pPr>
    </w:p>
    <w:p w14:paraId="68FD39DF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  <w:b/>
          <w:bCs/>
        </w:rPr>
        <w:t>Conclusion</w:t>
      </w:r>
      <w:r w:rsidRPr="00B62E57">
        <w:rPr>
          <w:rFonts w:ascii="Times New Roman" w:hAnsi="Times New Roman" w:cs="Times New Roman"/>
        </w:rPr>
        <w:t>: Although methenamine has been around for nearly six decades, clinical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effectiveness and safety data have been relatively limited, but appears to be effective and</w:t>
      </w:r>
    </w:p>
    <w:p w14:paraId="55A1FD26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</w:rPr>
        <w:t>well-tolerated overall for UTI prophylaxis. Interest has largely re-emerged for this antiseptic</w:t>
      </w:r>
    </w:p>
    <w:p w14:paraId="42796C2D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</w:rPr>
        <w:t>agent as an attractive alternative to low dose antibiotics in the era of antibiotic resistance.</w:t>
      </w:r>
    </w:p>
    <w:p w14:paraId="4737DE3A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</w:rPr>
        <w:t>Methenamine is an encouraging non-antibiotic option for UTI prophylaxis among certain patient</w:t>
      </w:r>
    </w:p>
    <w:p w14:paraId="455535C8" w14:textId="77777777" w:rsid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</w:rPr>
        <w:t>populations who experience rUTIs.</w:t>
      </w:r>
    </w:p>
    <w:p w14:paraId="70FD03E8" w14:textId="77777777" w:rsidR="00B62E57" w:rsidRDefault="00B62E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58BDBB6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  <w:b/>
          <w:bCs/>
        </w:rPr>
        <w:lastRenderedPageBreak/>
        <w:t>Title</w:t>
      </w:r>
      <w:r>
        <w:rPr>
          <w:rFonts w:ascii="Times New Roman" w:hAnsi="Times New Roman" w:cs="Times New Roman"/>
        </w:rPr>
        <w:t xml:space="preserve">: </w:t>
      </w:r>
      <w:r w:rsidRPr="00B62E57">
        <w:rPr>
          <w:rFonts w:ascii="Times New Roman" w:hAnsi="Times New Roman" w:cs="Times New Roman"/>
        </w:rPr>
        <w:t>Rising Cases of Drug-Induced Pulmonary Fibrosis: Analysis of the Food and Drug</w:t>
      </w:r>
    </w:p>
    <w:p w14:paraId="5178957B" w14:textId="77777777" w:rsid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</w:rPr>
        <w:t>Administration Adverse Event Reporting System (FAERS) Database, 2000-2022. </w:t>
      </w:r>
    </w:p>
    <w:p w14:paraId="1A0B6AA6" w14:textId="77777777" w:rsidR="00B62E57" w:rsidRDefault="00B62E57" w:rsidP="00B62E57">
      <w:pPr>
        <w:rPr>
          <w:rFonts w:ascii="Times New Roman" w:hAnsi="Times New Roman" w:cs="Times New Roman"/>
        </w:rPr>
      </w:pPr>
    </w:p>
    <w:p w14:paraId="43072969" w14:textId="77777777" w:rsid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  <w:b/>
          <w:bCs/>
        </w:rPr>
        <w:t>Authors</w:t>
      </w:r>
      <w:r>
        <w:rPr>
          <w:rFonts w:ascii="Times New Roman" w:hAnsi="Times New Roman" w:cs="Times New Roman"/>
        </w:rPr>
        <w:t xml:space="preserve">: </w:t>
      </w:r>
      <w:r w:rsidRPr="00B62E57">
        <w:rPr>
          <w:rFonts w:ascii="Times New Roman" w:hAnsi="Times New Roman" w:cs="Times New Roman"/>
        </w:rPr>
        <w:t>Kenneth L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McCall, PharmD</w:t>
      </w:r>
      <w:r>
        <w:rPr>
          <w:rFonts w:ascii="Times New Roman" w:hAnsi="Times New Roman" w:cs="Times New Roman"/>
        </w:rPr>
        <w:t>;</w:t>
      </w:r>
      <w:r w:rsidRPr="00B62E57">
        <w:rPr>
          <w:rFonts w:ascii="Times New Roman" w:hAnsi="Times New Roman" w:cs="Times New Roman"/>
        </w:rPr>
        <w:t xml:space="preserve"> Kelsey R Hennig, PharmD</w:t>
      </w:r>
      <w:r>
        <w:rPr>
          <w:rFonts w:ascii="Times New Roman" w:hAnsi="Times New Roman" w:cs="Times New Roman"/>
        </w:rPr>
        <w:t>;</w:t>
      </w:r>
      <w:r w:rsidRPr="00B62E57">
        <w:rPr>
          <w:rFonts w:ascii="Times New Roman" w:hAnsi="Times New Roman" w:cs="Times New Roman"/>
        </w:rPr>
        <w:t xml:space="preserve"> Zachary T Abe</w:t>
      </w:r>
      <w:r>
        <w:rPr>
          <w:rFonts w:ascii="Times New Roman" w:hAnsi="Times New Roman" w:cs="Times New Roman"/>
        </w:rPr>
        <w:t>;</w:t>
      </w:r>
      <w:r w:rsidRPr="00B62E57">
        <w:rPr>
          <w:rFonts w:ascii="Times New Roman" w:hAnsi="Times New Roman" w:cs="Times New Roman"/>
        </w:rPr>
        <w:t xml:space="preserve"> Danielle N Dattler</w:t>
      </w:r>
      <w:r>
        <w:rPr>
          <w:rFonts w:ascii="Times New Roman" w:hAnsi="Times New Roman" w:cs="Times New Roman"/>
        </w:rPr>
        <w:t>;</w:t>
      </w:r>
      <w:r w:rsidRPr="00B62E57">
        <w:rPr>
          <w:rFonts w:ascii="Times New Roman" w:hAnsi="Times New Roman" w:cs="Times New Roman"/>
        </w:rPr>
        <w:t xml:space="preserve"> Karyssa L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Hurd</w:t>
      </w:r>
      <w:r>
        <w:rPr>
          <w:rFonts w:ascii="Times New Roman" w:hAnsi="Times New Roman" w:cs="Times New Roman"/>
        </w:rPr>
        <w:t>;</w:t>
      </w:r>
      <w:r w:rsidRPr="00B62E57">
        <w:rPr>
          <w:rFonts w:ascii="Times New Roman" w:hAnsi="Times New Roman" w:cs="Times New Roman"/>
        </w:rPr>
        <w:t xml:space="preserve"> Sophie L Portnoy</w:t>
      </w:r>
      <w:r>
        <w:rPr>
          <w:rFonts w:ascii="Times New Roman" w:hAnsi="Times New Roman" w:cs="Times New Roman"/>
        </w:rPr>
        <w:t>;</w:t>
      </w:r>
      <w:r w:rsidRPr="00B62E57">
        <w:rPr>
          <w:rFonts w:ascii="Times New Roman" w:hAnsi="Times New Roman" w:cs="Times New Roman"/>
        </w:rPr>
        <w:t xml:space="preserve"> Zoey J Zagoria</w:t>
      </w:r>
    </w:p>
    <w:p w14:paraId="04CC8973" w14:textId="77777777" w:rsidR="00B62E57" w:rsidRPr="00B62E57" w:rsidRDefault="00B62E57" w:rsidP="00B62E57">
      <w:pPr>
        <w:rPr>
          <w:rFonts w:ascii="Times New Roman" w:hAnsi="Times New Roman" w:cs="Times New Roman"/>
        </w:rPr>
      </w:pPr>
    </w:p>
    <w:p w14:paraId="35C1AE43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  <w:b/>
          <w:bCs/>
        </w:rPr>
        <w:t>Purpose</w:t>
      </w:r>
      <w:r w:rsidRPr="00B62E57">
        <w:rPr>
          <w:rFonts w:ascii="Times New Roman" w:hAnsi="Times New Roman" w:cs="Times New Roman"/>
        </w:rPr>
        <w:t>: Pulmonary fibrosis (PF) is a severe, increasingly prevalent disease. We conducted a 23-year review of the FDA Adverse Event Reporting System (FAERS) to identify drugs commonly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associated with PF.</w:t>
      </w:r>
    </w:p>
    <w:p w14:paraId="6246FDA1" w14:textId="77777777" w:rsidR="00B62E57" w:rsidRDefault="00B62E57" w:rsidP="00B62E57">
      <w:pPr>
        <w:rPr>
          <w:rFonts w:ascii="Times New Roman" w:hAnsi="Times New Roman" w:cs="Times New Roman"/>
        </w:rPr>
      </w:pPr>
    </w:p>
    <w:p w14:paraId="587CF9A8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  <w:b/>
          <w:bCs/>
        </w:rPr>
        <w:t>Methods</w:t>
      </w:r>
      <w:r w:rsidRPr="00B62E57">
        <w:rPr>
          <w:rFonts w:ascii="Times New Roman" w:hAnsi="Times New Roman" w:cs="Times New Roman"/>
        </w:rPr>
        <w:t>: In a retrospective review, we examined the FAERS database from 2000 to 2022, using</w:t>
      </w:r>
    </w:p>
    <w:p w14:paraId="4D8278A6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</w:rPr>
        <w:t xml:space="preserve">search terms </w:t>
      </w:r>
      <w:r>
        <w:rPr>
          <w:rFonts w:ascii="Times New Roman" w:hAnsi="Times New Roman" w:cs="Times New Roman"/>
        </w:rPr>
        <w:t>“</w:t>
      </w:r>
      <w:r w:rsidRPr="00B62E57">
        <w:rPr>
          <w:rFonts w:ascii="Times New Roman" w:hAnsi="Times New Roman" w:cs="Times New Roman"/>
        </w:rPr>
        <w:t>pulmonary fibrosis</w:t>
      </w:r>
      <w:r>
        <w:rPr>
          <w:rFonts w:ascii="Times New Roman" w:hAnsi="Times New Roman" w:cs="Times New Roman"/>
        </w:rPr>
        <w:t>”</w:t>
      </w:r>
      <w:r w:rsidRPr="00B62E57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“</w:t>
      </w:r>
      <w:r w:rsidRPr="00B62E57">
        <w:rPr>
          <w:rFonts w:ascii="Times New Roman" w:hAnsi="Times New Roman" w:cs="Times New Roman"/>
        </w:rPr>
        <w:t>idiopathic pulmonary fibrosi</w:t>
      </w:r>
      <w:r>
        <w:rPr>
          <w:rFonts w:ascii="Times New Roman" w:hAnsi="Times New Roman" w:cs="Times New Roman"/>
        </w:rPr>
        <w:t>s.”</w:t>
      </w:r>
      <w:r w:rsidRPr="00B62E57">
        <w:rPr>
          <w:rFonts w:ascii="Times New Roman" w:hAnsi="Times New Roman" w:cs="Times New Roman"/>
        </w:rPr>
        <w:t xml:space="preserve"> We excluded reports</w:t>
      </w:r>
    </w:p>
    <w:p w14:paraId="215B513F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</w:rPr>
        <w:t>involving patients under 18 or with unknown age or sex. Reports were sorted by generic drug</w:t>
      </w:r>
    </w:p>
    <w:p w14:paraId="4748A8AA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</w:rPr>
        <w:t>names and counted and trended over time using regression analysis.</w:t>
      </w:r>
    </w:p>
    <w:p w14:paraId="497B663D" w14:textId="77777777" w:rsidR="00B62E57" w:rsidRDefault="00B62E57" w:rsidP="00B62E57">
      <w:pPr>
        <w:rPr>
          <w:rFonts w:ascii="Times New Roman" w:hAnsi="Times New Roman" w:cs="Times New Roman"/>
        </w:rPr>
      </w:pPr>
    </w:p>
    <w:p w14:paraId="1E0DFBE4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  <w:b/>
          <w:bCs/>
        </w:rPr>
        <w:t>Results</w:t>
      </w:r>
      <w:r w:rsidRPr="00B62E57">
        <w:rPr>
          <w:rFonts w:ascii="Times New Roman" w:hAnsi="Times New Roman" w:cs="Times New Roman"/>
        </w:rPr>
        <w:t>: From 2000-2022, 17,520 (0.07%) of 24,095,935 adverse drug events were reported as</w:t>
      </w:r>
    </w:p>
    <w:p w14:paraId="1985297B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</w:rPr>
        <w:t>PF. Excluding patients under 18 and unknown age and sex. Our final dataset comprised 11,988</w:t>
      </w:r>
    </w:p>
    <w:p w14:paraId="24950A62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</w:rPr>
        <w:t>reports, with a mean patient age of 66.5 ± 13.1 years, and 52.1% were male. The number of</w:t>
      </w:r>
    </w:p>
    <w:p w14:paraId="04BC1C02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</w:rPr>
        <w:t>reports per year increased from 252 in 2001 to 1,049 in 2020, a 316% rise, with positive</w:t>
      </w:r>
    </w:p>
    <w:p w14:paraId="3F8B3A5D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</w:rPr>
        <w:t>regression trends (R 2  of 0.81 and 0.88 for linear and exponential regression, respectively). The</w:t>
      </w:r>
    </w:p>
    <w:p w14:paraId="5B4AE01E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</w:rPr>
        <w:t>top five drug classes linked to PF were disease-modifying antirheumatic drugs (DMARDs,</w:t>
      </w:r>
    </w:p>
    <w:p w14:paraId="6284D309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</w:rPr>
        <w:t>39.4%), antineoplastic agents (26.4%), cardiovascular agents (12.6%), corticosteroids (4.6%),</w:t>
      </w:r>
    </w:p>
    <w:p w14:paraId="1CA0EEF1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</w:rPr>
        <w:t>and immunosuppressive agents (4.0%). The top 10 drugs associated with PF from 2000 to 2022</w:t>
      </w:r>
    </w:p>
    <w:p w14:paraId="64FB51E4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</w:rPr>
        <w:t>were methotrexate (11.3%), etanercept (8.1%), adalimumab (6.8%), amiodarone (6.6%),</w:t>
      </w:r>
    </w:p>
    <w:p w14:paraId="18817677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</w:rPr>
        <w:t>infliximab (4.7%), rituximab (4.6%), hydroxychloroquine (4.3%), leflunomide (3.3%),</w:t>
      </w:r>
    </w:p>
    <w:p w14:paraId="39AA7684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</w:rPr>
        <w:t>tocilizumab (3.2%), and abatacept (3.5%). Linear regression revealed significant increases over</w:t>
      </w:r>
    </w:p>
    <w:p w14:paraId="5B918423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</w:rPr>
        <w:t>time for most of these drugs, except amiodarone and infliximab.</w:t>
      </w:r>
    </w:p>
    <w:p w14:paraId="788718EA" w14:textId="77777777" w:rsidR="00B62E57" w:rsidRDefault="00B62E57" w:rsidP="00B62E57">
      <w:pPr>
        <w:rPr>
          <w:rFonts w:ascii="Times New Roman" w:hAnsi="Times New Roman" w:cs="Times New Roman"/>
        </w:rPr>
      </w:pPr>
    </w:p>
    <w:p w14:paraId="71D3BFEB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  <w:b/>
          <w:bCs/>
        </w:rPr>
        <w:t>Conclusion</w:t>
      </w:r>
      <w:r w:rsidRPr="00B62E57">
        <w:rPr>
          <w:rFonts w:ascii="Times New Roman" w:hAnsi="Times New Roman" w:cs="Times New Roman"/>
        </w:rPr>
        <w:t>: FAERS data showed an exponential rise in PF reports over 23 years, particularly</w:t>
      </w:r>
    </w:p>
    <w:p w14:paraId="63767E66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</w:rPr>
        <w:t>linked to DMARDs and antineoplastic agents. While our study has limitations, it provides</w:t>
      </w:r>
    </w:p>
    <w:p w14:paraId="53DBFBC6" w14:textId="77777777" w:rsid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</w:rPr>
        <w:t>valuable insights for further PF-related drug research.</w:t>
      </w:r>
    </w:p>
    <w:p w14:paraId="3956CA46" w14:textId="77777777" w:rsidR="00B62E57" w:rsidRDefault="00B62E57" w:rsidP="00B62E57">
      <w:pPr>
        <w:rPr>
          <w:rFonts w:ascii="Times New Roman" w:hAnsi="Times New Roman" w:cs="Times New Roman"/>
        </w:rPr>
      </w:pPr>
    </w:p>
    <w:p w14:paraId="519AB61F" w14:textId="77777777" w:rsidR="00B62E57" w:rsidRDefault="00B62E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749A32C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  <w:b/>
          <w:bCs/>
        </w:rPr>
        <w:lastRenderedPageBreak/>
        <w:t>Title</w:t>
      </w:r>
      <w:r w:rsidRPr="00B62E57">
        <w:rPr>
          <w:rFonts w:ascii="Times New Roman" w:hAnsi="Times New Roman" w:cs="Times New Roman"/>
        </w:rPr>
        <w:t>: Readmission Rates in Patients with Heart Failure with Reduced Ejection Fraction on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Guideline-Directed Medical Therapy at Hospital Discharge</w:t>
      </w:r>
    </w:p>
    <w:p w14:paraId="1F0595A5" w14:textId="77777777" w:rsidR="00B62E57" w:rsidRDefault="00B62E57" w:rsidP="00B62E57">
      <w:pPr>
        <w:rPr>
          <w:rFonts w:ascii="Times New Roman" w:hAnsi="Times New Roman" w:cs="Times New Roman"/>
        </w:rPr>
      </w:pPr>
    </w:p>
    <w:p w14:paraId="344A996F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  <w:b/>
          <w:bCs/>
        </w:rPr>
        <w:t>Authors</w:t>
      </w:r>
      <w:r w:rsidRPr="00B62E57">
        <w:rPr>
          <w:rFonts w:ascii="Times New Roman" w:hAnsi="Times New Roman" w:cs="Times New Roman"/>
        </w:rPr>
        <w:t>: Michelle Maj PharmD Candidate; Olivia Denny PharmD; Ashley E. Woodruff</w:t>
      </w:r>
    </w:p>
    <w:p w14:paraId="2CECFD89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</w:rPr>
        <w:t>PharmD; BCPS, Kevin Mills PharmD; BCCP, Maya R. Chilbert, PharmD, BCCP</w:t>
      </w:r>
    </w:p>
    <w:p w14:paraId="1AC72BD1" w14:textId="77777777" w:rsidR="00B62E57" w:rsidRDefault="00B62E57" w:rsidP="00B62E57">
      <w:pPr>
        <w:rPr>
          <w:rFonts w:ascii="Times New Roman" w:hAnsi="Times New Roman" w:cs="Times New Roman"/>
        </w:rPr>
      </w:pPr>
    </w:p>
    <w:p w14:paraId="65E8A97F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  <w:b/>
          <w:bCs/>
        </w:rPr>
        <w:t>Purpose</w:t>
      </w:r>
      <w:r w:rsidRPr="00B62E57">
        <w:rPr>
          <w:rFonts w:ascii="Times New Roman" w:hAnsi="Times New Roman" w:cs="Times New Roman"/>
        </w:rPr>
        <w:t>: Guideline-directed medical therapy (GDMT) for heart failure with reduced ejection</w:t>
      </w:r>
    </w:p>
    <w:p w14:paraId="29BB4C4C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</w:rPr>
        <w:t>fraction (HFrEF) includes renin-angiotensin-aldosterone system inhibitors (RAASi), beta-</w:t>
      </w:r>
    </w:p>
    <w:p w14:paraId="116ACD50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</w:rPr>
        <w:t>blockers (BB), sodium-glucose cotransporter-2 inhibitors (SGLT2i), and mineralocorticoid</w:t>
      </w:r>
    </w:p>
    <w:p w14:paraId="49533766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</w:rPr>
        <w:t>receptor antagonists (MRA). However, it is not always feasible to discharge patients on all four</w:t>
      </w:r>
    </w:p>
    <w:p w14:paraId="18812CE2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</w:rPr>
        <w:t>classes. Therefore, the aim of this study was to assess patients discharged on three classes of</w:t>
      </w:r>
    </w:p>
    <w:p w14:paraId="2EA39200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</w:rPr>
        <w:t>GDMT to determine an optimal combination.</w:t>
      </w:r>
    </w:p>
    <w:p w14:paraId="5424D0CE" w14:textId="77777777" w:rsidR="00B62E57" w:rsidRDefault="00B62E57" w:rsidP="00B62E57">
      <w:pPr>
        <w:rPr>
          <w:rFonts w:ascii="Times New Roman" w:hAnsi="Times New Roman" w:cs="Times New Roman"/>
        </w:rPr>
      </w:pPr>
    </w:p>
    <w:p w14:paraId="236B61A1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  <w:b/>
          <w:bCs/>
        </w:rPr>
        <w:t>Methods</w:t>
      </w:r>
      <w:r w:rsidRPr="00B62E57">
        <w:rPr>
          <w:rFonts w:ascii="Times New Roman" w:hAnsi="Times New Roman" w:cs="Times New Roman"/>
        </w:rPr>
        <w:t>: A single-center, retrospective cohort of HFrEF admissions during March 2018-January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2023 was conducted. Patients discharged to hospice or with a serum creatinine ≥2 mg/dL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(females) or ≥2.5 mg/dL (males) were excluded. A RAASi/BB/SGLT2i group (‘SGLT2i group</w:t>
      </w:r>
      <w:r>
        <w:rPr>
          <w:rFonts w:ascii="Times New Roman" w:hAnsi="Times New Roman" w:cs="Times New Roman"/>
        </w:rPr>
        <w:t>’</w:t>
      </w:r>
      <w:r w:rsidRPr="00B62E57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was compared to a RAASi/BB/MRA group (‘MRA group’). The primary outcome compared 90-day HF readmissions. Secondary outcomes assessed adverse event rates. A time to event analysis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using Kaplan-Meier curves was completed. Analysis was performed using SAS v9.4. with an</w:t>
      </w:r>
      <w:r>
        <w:rPr>
          <w:rFonts w:ascii="Times New Roman" w:hAnsi="Times New Roman" w:cs="Times New Roman"/>
        </w:rPr>
        <w:t xml:space="preserve"> </w:t>
      </w:r>
      <w:r w:rsidRPr="00B62E57">
        <w:rPr>
          <w:rFonts w:ascii="Times New Roman" w:hAnsi="Times New Roman" w:cs="Times New Roman"/>
        </w:rPr>
        <w:t>alpha set at</w:t>
      </w:r>
      <w:r w:rsidR="007D558F">
        <w:rPr>
          <w:rFonts w:ascii="Times New Roman" w:hAnsi="Times New Roman" w:cs="Times New Roman"/>
        </w:rPr>
        <w:t xml:space="preserve"> &lt;</w:t>
      </w:r>
      <w:r w:rsidRPr="00B62E57">
        <w:rPr>
          <w:rFonts w:ascii="Times New Roman" w:hAnsi="Times New Roman" w:cs="Times New Roman"/>
        </w:rPr>
        <w:t>0.05.</w:t>
      </w:r>
    </w:p>
    <w:p w14:paraId="698D1B74" w14:textId="77777777" w:rsidR="007D558F" w:rsidRDefault="007D558F" w:rsidP="00B62E57">
      <w:pPr>
        <w:rPr>
          <w:rFonts w:ascii="Times New Roman" w:hAnsi="Times New Roman" w:cs="Times New Roman"/>
        </w:rPr>
      </w:pPr>
    </w:p>
    <w:p w14:paraId="6563134B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7D558F">
        <w:rPr>
          <w:rFonts w:ascii="Times New Roman" w:hAnsi="Times New Roman" w:cs="Times New Roman"/>
          <w:b/>
          <w:bCs/>
        </w:rPr>
        <w:t>Results</w:t>
      </w:r>
      <w:r w:rsidRPr="00B62E57">
        <w:rPr>
          <w:rFonts w:ascii="Times New Roman" w:hAnsi="Times New Roman" w:cs="Times New Roman"/>
        </w:rPr>
        <w:t>: A total of 172 patients were included, 85 in the SGLT2i group and 87 in the MRA</w:t>
      </w:r>
    </w:p>
    <w:p w14:paraId="24E82281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</w:rPr>
        <w:t>group. The SGLT2i compared to MRA group had a mean (standard deviation) age of 64.8 years</w:t>
      </w:r>
    </w:p>
    <w:p w14:paraId="788064CF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</w:rPr>
        <w:t>(14.5) versus 65.9 years (14.5; p=0.6091) and 32.9% (n=28) had a prior HF hospitalization</w:t>
      </w:r>
    </w:p>
    <w:p w14:paraId="70A85102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</w:rPr>
        <w:t>versus 36.8% (n=32; p=0.5973); respectively. In the SGLT2i group, 27.1% of patients had a 90-</w:t>
      </w:r>
    </w:p>
    <w:p w14:paraId="0438A4A7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</w:rPr>
        <w:t>day HF readmission compared to 17.2% in the MRA group (p=0.1208). This resulted in 1.32</w:t>
      </w:r>
    </w:p>
    <w:p w14:paraId="0C1155F1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</w:rPr>
        <w:t>readmissions per patient year in the SGLT2i group compared to 0.76 per patient year in the</w:t>
      </w:r>
    </w:p>
    <w:p w14:paraId="101AA5AB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</w:rPr>
        <w:t>MRA group (p=0.0691). Readmissions for adverse events occurred in 16.5% of the SGLT2i and</w:t>
      </w:r>
    </w:p>
    <w:p w14:paraId="69523D8D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</w:rPr>
        <w:t>18.4% of the MRA group (p=0.7400).</w:t>
      </w:r>
    </w:p>
    <w:p w14:paraId="13103F6A" w14:textId="77777777" w:rsidR="007D558F" w:rsidRDefault="007D558F" w:rsidP="00B62E57">
      <w:pPr>
        <w:rPr>
          <w:rFonts w:ascii="Times New Roman" w:hAnsi="Times New Roman" w:cs="Times New Roman"/>
        </w:rPr>
      </w:pPr>
    </w:p>
    <w:p w14:paraId="715D7C47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7D558F">
        <w:rPr>
          <w:rFonts w:ascii="Times New Roman" w:hAnsi="Times New Roman" w:cs="Times New Roman"/>
          <w:b/>
          <w:bCs/>
        </w:rPr>
        <w:t>Conclusion</w:t>
      </w:r>
      <w:r w:rsidRPr="00B62E57">
        <w:rPr>
          <w:rFonts w:ascii="Times New Roman" w:hAnsi="Times New Roman" w:cs="Times New Roman"/>
        </w:rPr>
        <w:t>: Numerically lower rates of HF readmissions occurred in patients receiving three</w:t>
      </w:r>
    </w:p>
    <w:p w14:paraId="2A75A788" w14:textId="77777777" w:rsidR="00B62E57" w:rsidRP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</w:rPr>
        <w:t>classes of GDMT including an MRA compared to an SGLT2i, however this difference did not</w:t>
      </w:r>
    </w:p>
    <w:p w14:paraId="7EA8CA12" w14:textId="77777777" w:rsidR="00B62E57" w:rsidRDefault="00B62E57" w:rsidP="00B62E57">
      <w:pPr>
        <w:rPr>
          <w:rFonts w:ascii="Times New Roman" w:hAnsi="Times New Roman" w:cs="Times New Roman"/>
        </w:rPr>
      </w:pPr>
      <w:r w:rsidRPr="00B62E57">
        <w:rPr>
          <w:rFonts w:ascii="Times New Roman" w:hAnsi="Times New Roman" w:cs="Times New Roman"/>
        </w:rPr>
        <w:t>reach statistical significance.</w:t>
      </w:r>
    </w:p>
    <w:p w14:paraId="2C5D0130" w14:textId="77777777" w:rsidR="007D558F" w:rsidRDefault="007D558F" w:rsidP="00B62E57">
      <w:pPr>
        <w:rPr>
          <w:rFonts w:ascii="Times New Roman" w:hAnsi="Times New Roman" w:cs="Times New Roman"/>
        </w:rPr>
      </w:pPr>
    </w:p>
    <w:p w14:paraId="0703509A" w14:textId="77777777" w:rsidR="007D558F" w:rsidRPr="0091550C" w:rsidRDefault="007D558F" w:rsidP="00B62E57">
      <w:pPr>
        <w:rPr>
          <w:rFonts w:ascii="Times New Roman" w:hAnsi="Times New Roman" w:cs="Times New Roman"/>
        </w:rPr>
      </w:pPr>
    </w:p>
    <w:sectPr w:rsidR="007D558F" w:rsidRPr="00915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F0C4C" w14:textId="77777777" w:rsidR="00096BE8" w:rsidRDefault="00096BE8" w:rsidP="00B62E57">
      <w:r>
        <w:separator/>
      </w:r>
    </w:p>
  </w:endnote>
  <w:endnote w:type="continuationSeparator" w:id="0">
    <w:p w14:paraId="558C3087" w14:textId="77777777" w:rsidR="00096BE8" w:rsidRDefault="00096BE8" w:rsidP="00B6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7E655" w14:textId="77777777" w:rsidR="00096BE8" w:rsidRDefault="00096BE8" w:rsidP="00B62E57">
      <w:r>
        <w:separator/>
      </w:r>
    </w:p>
  </w:footnote>
  <w:footnote w:type="continuationSeparator" w:id="0">
    <w:p w14:paraId="5707BCE9" w14:textId="77777777" w:rsidR="00096BE8" w:rsidRDefault="00096BE8" w:rsidP="00B62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0C"/>
    <w:rsid w:val="00096BE8"/>
    <w:rsid w:val="001E6E10"/>
    <w:rsid w:val="005729E2"/>
    <w:rsid w:val="005F7BE7"/>
    <w:rsid w:val="007D558F"/>
    <w:rsid w:val="0091550C"/>
    <w:rsid w:val="009B709A"/>
    <w:rsid w:val="00B62E57"/>
    <w:rsid w:val="00C028F1"/>
    <w:rsid w:val="00D8341D"/>
    <w:rsid w:val="00E0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61A19"/>
  <w15:chartTrackingRefBased/>
  <w15:docId w15:val="{CA55D94D-CF7F-924B-85A7-06D8CC30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E57"/>
  </w:style>
  <w:style w:type="paragraph" w:styleId="Footer">
    <w:name w:val="footer"/>
    <w:basedOn w:val="Normal"/>
    <w:link w:val="FooterChar"/>
    <w:uiPriority w:val="99"/>
    <w:unhideWhenUsed/>
    <w:rsid w:val="00B62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2418</Words>
  <Characters>13785</Characters>
  <Application>Microsoft Office Word</Application>
  <DocSecurity>4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Klosko</dc:creator>
  <cp:keywords/>
  <dc:description/>
  <cp:lastModifiedBy>Calvin Meaney</cp:lastModifiedBy>
  <cp:revision>2</cp:revision>
  <dcterms:created xsi:type="dcterms:W3CDTF">2023-09-22T15:50:00Z</dcterms:created>
  <dcterms:modified xsi:type="dcterms:W3CDTF">2023-09-22T15:50:00Z</dcterms:modified>
</cp:coreProperties>
</file>